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76" w:lineRule="auto" w:before="67"/>
      </w:pPr>
      <w:r>
        <w:rPr/>
        <w:t>THE</w:t>
      </w:r>
      <w:r>
        <w:rPr>
          <w:spacing w:val="-12"/>
        </w:rPr>
        <w:t> </w:t>
      </w:r>
      <w:r>
        <w:rPr/>
        <w:t>RELATIONSHIP</w:t>
      </w:r>
      <w:r>
        <w:rPr>
          <w:spacing w:val="-15"/>
        </w:rPr>
        <w:t> </w:t>
      </w:r>
      <w:r>
        <w:rPr/>
        <w:t>BETWEEN</w:t>
      </w:r>
      <w:r>
        <w:rPr>
          <w:spacing w:val="-14"/>
        </w:rPr>
        <w:t> </w:t>
      </w:r>
      <w:r>
        <w:rPr/>
        <w:t>NURSES’</w:t>
      </w:r>
      <w:r>
        <w:rPr>
          <w:spacing w:val="-15"/>
        </w:rPr>
        <w:t> </w:t>
      </w:r>
      <w:r>
        <w:rPr/>
        <w:t>WORK</w:t>
      </w:r>
      <w:r>
        <w:rPr>
          <w:spacing w:val="-12"/>
        </w:rPr>
        <w:t> </w:t>
      </w:r>
      <w:r>
        <w:rPr/>
        <w:t>MOTIVATION AND ACCURACY MEDICAL RECORD RETURN TIME</w:t>
      </w:r>
    </w:p>
    <w:p>
      <w:pPr>
        <w:spacing w:line="276" w:lineRule="auto" w:before="1"/>
        <w:ind w:left="1735" w:right="1217" w:firstLine="0"/>
        <w:jc w:val="center"/>
        <w:rPr>
          <w:b/>
          <w:sz w:val="24"/>
        </w:rPr>
      </w:pPr>
      <w:r>
        <w:rPr>
          <w:b/>
          <w:sz w:val="24"/>
        </w:rPr>
        <w:t>AT</w:t>
      </w:r>
      <w:r>
        <w:rPr>
          <w:b/>
          <w:spacing w:val="-15"/>
          <w:sz w:val="24"/>
        </w:rPr>
        <w:t> </w:t>
      </w:r>
      <w:r>
        <w:rPr>
          <w:b/>
          <w:sz w:val="24"/>
        </w:rPr>
        <w:t>THE</w:t>
      </w:r>
      <w:r>
        <w:rPr>
          <w:b/>
          <w:spacing w:val="-15"/>
          <w:sz w:val="24"/>
        </w:rPr>
        <w:t> </w:t>
      </w:r>
      <w:r>
        <w:rPr>
          <w:b/>
          <w:sz w:val="24"/>
        </w:rPr>
        <w:t>REGIONAL</w:t>
      </w:r>
      <w:r>
        <w:rPr>
          <w:b/>
          <w:spacing w:val="-15"/>
          <w:sz w:val="24"/>
        </w:rPr>
        <w:t> </w:t>
      </w:r>
      <w:r>
        <w:rPr>
          <w:b/>
          <w:sz w:val="24"/>
        </w:rPr>
        <w:t>GENERAL</w:t>
      </w:r>
      <w:r>
        <w:rPr>
          <w:b/>
          <w:spacing w:val="-15"/>
          <w:sz w:val="24"/>
        </w:rPr>
        <w:t> </w:t>
      </w:r>
      <w:r>
        <w:rPr>
          <w:b/>
          <w:sz w:val="24"/>
        </w:rPr>
        <w:t>HOSPITAL RADEN MATTAHER JAMBI CITY</w:t>
      </w:r>
    </w:p>
    <w:p>
      <w:pPr>
        <w:spacing w:line="360" w:lineRule="auto" w:before="0"/>
        <w:ind w:left="1874" w:right="942" w:firstLine="614"/>
        <w:jc w:val="left"/>
        <w:rPr>
          <w:sz w:val="24"/>
        </w:rPr>
      </w:pPr>
      <w:r>
        <w:rPr>
          <w:sz w:val="24"/>
        </w:rPr>
        <w:t>Putri Damai Yanti</w:t>
      </w:r>
      <w:r>
        <w:rPr>
          <w:sz w:val="24"/>
          <w:vertAlign w:val="superscript"/>
        </w:rPr>
        <w:t>1</w:t>
      </w:r>
      <w:r>
        <w:rPr>
          <w:sz w:val="24"/>
          <w:vertAlign w:val="baseline"/>
        </w:rPr>
        <w:t>, Listautin</w:t>
      </w:r>
      <w:r>
        <w:rPr>
          <w:sz w:val="24"/>
          <w:vertAlign w:val="superscript"/>
        </w:rPr>
        <w:t>2</w:t>
      </w:r>
      <w:r>
        <w:rPr>
          <w:sz w:val="24"/>
          <w:vertAlign w:val="baseline"/>
        </w:rPr>
        <w:t>, Rosdawati</w:t>
      </w:r>
      <w:r>
        <w:rPr>
          <w:sz w:val="24"/>
          <w:vertAlign w:val="superscript"/>
        </w:rPr>
        <w:t>3</w:t>
      </w:r>
      <w:r>
        <w:rPr>
          <w:sz w:val="24"/>
          <w:vertAlign w:val="baseline"/>
        </w:rPr>
        <w:t> Bachelor's</w:t>
      </w:r>
      <w:r>
        <w:rPr>
          <w:spacing w:val="-15"/>
          <w:sz w:val="24"/>
          <w:vertAlign w:val="baseline"/>
        </w:rPr>
        <w:t> </w:t>
      </w:r>
      <w:r>
        <w:rPr>
          <w:sz w:val="24"/>
          <w:vertAlign w:val="baseline"/>
        </w:rPr>
        <w:t>Degree</w:t>
      </w:r>
      <w:r>
        <w:rPr>
          <w:spacing w:val="-14"/>
          <w:sz w:val="24"/>
          <w:vertAlign w:val="baseline"/>
        </w:rPr>
        <w:t> </w:t>
      </w:r>
      <w:r>
        <w:rPr>
          <w:sz w:val="24"/>
          <w:vertAlign w:val="baseline"/>
        </w:rPr>
        <w:t>Program</w:t>
      </w:r>
      <w:r>
        <w:rPr>
          <w:spacing w:val="-13"/>
          <w:sz w:val="24"/>
          <w:vertAlign w:val="baseline"/>
        </w:rPr>
        <w:t> </w:t>
      </w:r>
      <w:r>
        <w:rPr>
          <w:sz w:val="24"/>
          <w:vertAlign w:val="baseline"/>
        </w:rPr>
        <w:t>in</w:t>
      </w:r>
      <w:r>
        <w:rPr>
          <w:spacing w:val="-15"/>
          <w:sz w:val="24"/>
          <w:vertAlign w:val="baseline"/>
        </w:rPr>
        <w:t> </w:t>
      </w:r>
      <w:r>
        <w:rPr>
          <w:sz w:val="24"/>
          <w:vertAlign w:val="baseline"/>
        </w:rPr>
        <w:t>Hospital</w:t>
      </w:r>
      <w:r>
        <w:rPr>
          <w:spacing w:val="-15"/>
          <w:sz w:val="24"/>
          <w:vertAlign w:val="baseline"/>
        </w:rPr>
        <w:t> </w:t>
      </w:r>
      <w:r>
        <w:rPr>
          <w:sz w:val="24"/>
          <w:vertAlign w:val="baseline"/>
        </w:rPr>
        <w:t>Administration</w:t>
      </w:r>
    </w:p>
    <w:p>
      <w:pPr>
        <w:spacing w:before="0"/>
        <w:ind w:left="660" w:right="248" w:firstLine="0"/>
        <w:jc w:val="center"/>
        <w:rPr>
          <w:sz w:val="24"/>
        </w:rPr>
      </w:pPr>
      <w:r>
        <w:rPr>
          <w:spacing w:val="-4"/>
          <w:sz w:val="24"/>
        </w:rPr>
        <w:t>STIKES</w:t>
      </w:r>
      <w:r>
        <w:rPr>
          <w:spacing w:val="-7"/>
          <w:sz w:val="24"/>
        </w:rPr>
        <w:t> </w:t>
      </w:r>
      <w:r>
        <w:rPr>
          <w:spacing w:val="-4"/>
          <w:sz w:val="24"/>
        </w:rPr>
        <w:t>Garuda</w:t>
      </w:r>
      <w:r>
        <w:rPr>
          <w:spacing w:val="-15"/>
          <w:sz w:val="24"/>
        </w:rPr>
        <w:t> </w:t>
      </w:r>
      <w:r>
        <w:rPr>
          <w:spacing w:val="-4"/>
          <w:sz w:val="24"/>
        </w:rPr>
        <w:t>Putih</w:t>
      </w:r>
      <w:r>
        <w:rPr>
          <w:spacing w:val="-9"/>
          <w:sz w:val="24"/>
        </w:rPr>
        <w:t> </w:t>
      </w:r>
      <w:r>
        <w:rPr>
          <w:spacing w:val="-4"/>
          <w:sz w:val="24"/>
        </w:rPr>
        <w:t>Jambi</w:t>
      </w:r>
    </w:p>
    <w:p>
      <w:pPr>
        <w:pStyle w:val="BodyText"/>
        <w:rPr>
          <w:i w:val="0"/>
        </w:rPr>
      </w:pPr>
    </w:p>
    <w:p>
      <w:pPr>
        <w:pStyle w:val="BodyText"/>
        <w:spacing w:before="266"/>
        <w:rPr>
          <w:i w:val="0"/>
        </w:rPr>
      </w:pPr>
    </w:p>
    <w:p>
      <w:pPr>
        <w:pStyle w:val="Heading2"/>
      </w:pPr>
      <w:r>
        <w:rPr>
          <w:spacing w:val="-2"/>
        </w:rPr>
        <w:t>ABSTRACT</w:t>
      </w:r>
    </w:p>
    <w:p>
      <w:pPr>
        <w:pStyle w:val="BodyText"/>
        <w:rPr>
          <w:b/>
          <w:sz w:val="20"/>
        </w:rPr>
      </w:pPr>
    </w:p>
    <w:p>
      <w:pPr>
        <w:pStyle w:val="BodyText"/>
        <w:spacing w:before="56"/>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1601469</wp:posOffset>
                </wp:positionH>
                <wp:positionV relativeFrom="paragraph">
                  <wp:posOffset>197035</wp:posOffset>
                </wp:positionV>
                <wp:extent cx="4719320" cy="367982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4719320" cy="3679825"/>
                        </a:xfrm>
                        <a:prstGeom prst="rect">
                          <a:avLst/>
                        </a:prstGeom>
                        <a:solidFill>
                          <a:srgbClr val="F8F8F8"/>
                        </a:solidFill>
                      </wps:spPr>
                      <wps:txbx>
                        <w:txbxContent>
                          <w:p>
                            <w:pPr>
                              <w:pStyle w:val="BodyText"/>
                              <w:ind w:left="29" w:right="18"/>
                              <w:jc w:val="both"/>
                              <w:rPr>
                                <w:color w:val="000000"/>
                              </w:rPr>
                            </w:pPr>
                            <w:r>
                              <w:rPr>
                                <w:color w:val="1F1F1F"/>
                              </w:rPr>
                              <w:t>The timely return of medical records is a key indicator of hospital service quality. However, delays in returning medical records remain an issue that can hinder the management process and affect the quality of healthcare services. One factor suspected to be associated with the timely return of medical records is nurses' work motivation. This study aimed to determine the relationship between nurses' work motivation and the timely return of medical</w:t>
                            </w:r>
                            <w:r>
                              <w:rPr>
                                <w:color w:val="1F1F1F"/>
                                <w:spacing w:val="-15"/>
                              </w:rPr>
                              <w:t> </w:t>
                            </w:r>
                            <w:r>
                              <w:rPr>
                                <w:color w:val="1F1F1F"/>
                              </w:rPr>
                              <w:t>records</w:t>
                            </w:r>
                            <w:r>
                              <w:rPr>
                                <w:color w:val="1F1F1F"/>
                                <w:spacing w:val="-15"/>
                              </w:rPr>
                              <w:t> </w:t>
                            </w:r>
                            <w:r>
                              <w:rPr>
                                <w:color w:val="1F1F1F"/>
                              </w:rPr>
                              <w:t>at</w:t>
                            </w:r>
                            <w:r>
                              <w:rPr>
                                <w:color w:val="1F1F1F"/>
                                <w:spacing w:val="-15"/>
                              </w:rPr>
                              <w:t> </w:t>
                            </w:r>
                            <w:r>
                              <w:rPr>
                                <w:color w:val="1F1F1F"/>
                              </w:rPr>
                              <w:t>Raden</w:t>
                            </w:r>
                            <w:r>
                              <w:rPr>
                                <w:color w:val="1F1F1F"/>
                                <w:spacing w:val="-15"/>
                              </w:rPr>
                              <w:t> </w:t>
                            </w:r>
                            <w:r>
                              <w:rPr>
                                <w:color w:val="1F1F1F"/>
                              </w:rPr>
                              <w:t>Mattaher</w:t>
                            </w:r>
                            <w:r>
                              <w:rPr>
                                <w:color w:val="1F1F1F"/>
                                <w:spacing w:val="-15"/>
                              </w:rPr>
                              <w:t> </w:t>
                            </w:r>
                            <w:r>
                              <w:rPr>
                                <w:color w:val="1F1F1F"/>
                              </w:rPr>
                              <w:t>Regional</w:t>
                            </w:r>
                            <w:r>
                              <w:rPr>
                                <w:color w:val="1F1F1F"/>
                                <w:spacing w:val="-15"/>
                              </w:rPr>
                              <w:t> </w:t>
                            </w:r>
                            <w:r>
                              <w:rPr>
                                <w:color w:val="1F1F1F"/>
                              </w:rPr>
                              <w:t>General</w:t>
                            </w:r>
                            <w:r>
                              <w:rPr>
                                <w:color w:val="1F1F1F"/>
                                <w:spacing w:val="-15"/>
                              </w:rPr>
                              <w:t> </w:t>
                            </w:r>
                            <w:r>
                              <w:rPr>
                                <w:color w:val="1F1F1F"/>
                              </w:rPr>
                              <w:t>Hospital</w:t>
                            </w:r>
                            <w:r>
                              <w:rPr>
                                <w:color w:val="1F1F1F"/>
                                <w:spacing w:val="-15"/>
                              </w:rPr>
                              <w:t> </w:t>
                            </w:r>
                            <w:r>
                              <w:rPr>
                                <w:color w:val="1F1F1F"/>
                              </w:rPr>
                              <w:t>in</w:t>
                            </w:r>
                            <w:r>
                              <w:rPr>
                                <w:color w:val="1F1F1F"/>
                                <w:spacing w:val="-15"/>
                              </w:rPr>
                              <w:t> </w:t>
                            </w:r>
                            <w:r>
                              <w:rPr>
                                <w:color w:val="1F1F1F"/>
                              </w:rPr>
                              <w:t>Jambi</w:t>
                            </w:r>
                            <w:r>
                              <w:rPr>
                                <w:color w:val="1F1F1F"/>
                                <w:spacing w:val="-15"/>
                              </w:rPr>
                              <w:t> </w:t>
                            </w:r>
                            <w:r>
                              <w:rPr>
                                <w:color w:val="1F1F1F"/>
                              </w:rPr>
                              <w:t>City. This was a quantitative study with a correlational design using a cross-sectional approach. The</w:t>
                            </w:r>
                            <w:r>
                              <w:rPr>
                                <w:color w:val="1F1F1F"/>
                                <w:spacing w:val="-1"/>
                              </w:rPr>
                              <w:t> </w:t>
                            </w:r>
                            <w:r>
                              <w:rPr>
                                <w:color w:val="1F1F1F"/>
                              </w:rPr>
                              <w:t>study population consisted of all 86 nurses</w:t>
                            </w:r>
                            <w:r>
                              <w:rPr>
                                <w:color w:val="1F1F1F"/>
                                <w:spacing w:val="-1"/>
                              </w:rPr>
                              <w:t> </w:t>
                            </w:r>
                            <w:r>
                              <w:rPr>
                                <w:color w:val="1F1F1F"/>
                              </w:rPr>
                              <w:t>working in</w:t>
                            </w:r>
                            <w:r>
                              <w:rPr>
                                <w:color w:val="1F1F1F"/>
                                <w:spacing w:val="-15"/>
                              </w:rPr>
                              <w:t> </w:t>
                            </w:r>
                            <w:r>
                              <w:rPr>
                                <w:color w:val="1F1F1F"/>
                              </w:rPr>
                              <w:t>the</w:t>
                            </w:r>
                            <w:r>
                              <w:rPr>
                                <w:color w:val="1F1F1F"/>
                                <w:spacing w:val="-15"/>
                              </w:rPr>
                              <w:t> </w:t>
                            </w:r>
                            <w:r>
                              <w:rPr>
                                <w:color w:val="1F1F1F"/>
                              </w:rPr>
                              <w:t>inpatient</w:t>
                            </w:r>
                            <w:r>
                              <w:rPr>
                                <w:color w:val="1F1F1F"/>
                                <w:spacing w:val="-15"/>
                              </w:rPr>
                              <w:t> </w:t>
                            </w:r>
                            <w:r>
                              <w:rPr>
                                <w:color w:val="1F1F1F"/>
                              </w:rPr>
                              <w:t>wards</w:t>
                            </w:r>
                            <w:r>
                              <w:rPr>
                                <w:color w:val="1F1F1F"/>
                                <w:spacing w:val="-15"/>
                              </w:rPr>
                              <w:t> </w:t>
                            </w:r>
                            <w:r>
                              <w:rPr>
                                <w:color w:val="1F1F1F"/>
                              </w:rPr>
                              <w:t>of</w:t>
                            </w:r>
                            <w:r>
                              <w:rPr>
                                <w:color w:val="1F1F1F"/>
                                <w:spacing w:val="-15"/>
                              </w:rPr>
                              <w:t> </w:t>
                            </w:r>
                            <w:r>
                              <w:rPr>
                                <w:color w:val="1F1F1F"/>
                              </w:rPr>
                              <w:t>RSUD</w:t>
                            </w:r>
                            <w:r>
                              <w:rPr>
                                <w:color w:val="1F1F1F"/>
                                <w:spacing w:val="-15"/>
                              </w:rPr>
                              <w:t> </w:t>
                            </w:r>
                            <w:r>
                              <w:rPr>
                                <w:color w:val="1F1F1F"/>
                              </w:rPr>
                              <w:t>Raden</w:t>
                            </w:r>
                            <w:r>
                              <w:rPr>
                                <w:color w:val="1F1F1F"/>
                                <w:spacing w:val="-13"/>
                              </w:rPr>
                              <w:t> </w:t>
                            </w:r>
                            <w:r>
                              <w:rPr>
                                <w:color w:val="1F1F1F"/>
                              </w:rPr>
                              <w:t>Mattaher,</w:t>
                            </w:r>
                            <w:r>
                              <w:rPr>
                                <w:color w:val="1F1F1F"/>
                                <w:spacing w:val="-15"/>
                              </w:rPr>
                              <w:t> </w:t>
                            </w:r>
                            <w:r>
                              <w:rPr>
                                <w:color w:val="1F1F1F"/>
                              </w:rPr>
                              <w:t>Jambi</w:t>
                            </w:r>
                            <w:r>
                              <w:rPr>
                                <w:color w:val="1F1F1F"/>
                                <w:spacing w:val="-14"/>
                              </w:rPr>
                              <w:t> </w:t>
                            </w:r>
                            <w:r>
                              <w:rPr>
                                <w:color w:val="1F1F1F"/>
                              </w:rPr>
                              <w:t>City.</w:t>
                            </w:r>
                            <w:r>
                              <w:rPr>
                                <w:color w:val="1F1F1F"/>
                                <w:spacing w:val="-15"/>
                              </w:rPr>
                              <w:t> </w:t>
                            </w:r>
                            <w:r>
                              <w:rPr>
                                <w:color w:val="1F1F1F"/>
                              </w:rPr>
                              <w:t>A</w:t>
                            </w:r>
                            <w:r>
                              <w:rPr>
                                <w:color w:val="1F1F1F"/>
                                <w:spacing w:val="-15"/>
                              </w:rPr>
                              <w:t> </w:t>
                            </w:r>
                            <w:r>
                              <w:rPr>
                                <w:color w:val="1F1F1F"/>
                              </w:rPr>
                              <w:t>total</w:t>
                            </w:r>
                            <w:r>
                              <w:rPr>
                                <w:color w:val="1F1F1F"/>
                                <w:spacing w:val="-15"/>
                              </w:rPr>
                              <w:t> </w:t>
                            </w:r>
                            <w:r>
                              <w:rPr>
                                <w:color w:val="1F1F1F"/>
                              </w:rPr>
                              <w:t>sampling technique</w:t>
                            </w:r>
                            <w:r>
                              <w:rPr>
                                <w:color w:val="1F1F1F"/>
                                <w:spacing w:val="-9"/>
                              </w:rPr>
                              <w:t> </w:t>
                            </w:r>
                            <w:r>
                              <w:rPr>
                                <w:color w:val="1F1F1F"/>
                              </w:rPr>
                              <w:t>was</w:t>
                            </w:r>
                            <w:r>
                              <w:rPr>
                                <w:color w:val="1F1F1F"/>
                                <w:spacing w:val="-6"/>
                              </w:rPr>
                              <w:t> </w:t>
                            </w:r>
                            <w:r>
                              <w:rPr>
                                <w:color w:val="1F1F1F"/>
                              </w:rPr>
                              <w:t>employed,</w:t>
                            </w:r>
                            <w:r>
                              <w:rPr>
                                <w:color w:val="1F1F1F"/>
                                <w:spacing w:val="-5"/>
                              </w:rPr>
                              <w:t> </w:t>
                            </w:r>
                            <w:r>
                              <w:rPr>
                                <w:color w:val="1F1F1F"/>
                              </w:rPr>
                              <w:t>meaning</w:t>
                            </w:r>
                            <w:r>
                              <w:rPr>
                                <w:color w:val="1F1F1F"/>
                                <w:spacing w:val="-6"/>
                              </w:rPr>
                              <w:t> </w:t>
                            </w:r>
                            <w:r>
                              <w:rPr>
                                <w:color w:val="1F1F1F"/>
                              </w:rPr>
                              <w:t>the</w:t>
                            </w:r>
                            <w:r>
                              <w:rPr>
                                <w:color w:val="1F1F1F"/>
                                <w:spacing w:val="-10"/>
                              </w:rPr>
                              <w:t> </w:t>
                            </w:r>
                            <w:r>
                              <w:rPr>
                                <w:color w:val="1F1F1F"/>
                              </w:rPr>
                              <w:t>entire</w:t>
                            </w:r>
                            <w:r>
                              <w:rPr>
                                <w:color w:val="1F1F1F"/>
                                <w:spacing w:val="-10"/>
                              </w:rPr>
                              <w:t> </w:t>
                            </w:r>
                            <w:r>
                              <w:rPr>
                                <w:color w:val="1F1F1F"/>
                              </w:rPr>
                              <w:t>population</w:t>
                            </w:r>
                            <w:r>
                              <w:rPr>
                                <w:color w:val="1F1F1F"/>
                                <w:spacing w:val="-6"/>
                              </w:rPr>
                              <w:t> </w:t>
                            </w:r>
                            <w:r>
                              <w:rPr>
                                <w:color w:val="1F1F1F"/>
                              </w:rPr>
                              <w:t>served</w:t>
                            </w:r>
                            <w:r>
                              <w:rPr>
                                <w:color w:val="1F1F1F"/>
                                <w:spacing w:val="-7"/>
                              </w:rPr>
                              <w:t> </w:t>
                            </w:r>
                            <w:r>
                              <w:rPr>
                                <w:color w:val="1F1F1F"/>
                              </w:rPr>
                              <w:t>as</w:t>
                            </w:r>
                            <w:r>
                              <w:rPr>
                                <w:color w:val="1F1F1F"/>
                                <w:spacing w:val="-7"/>
                              </w:rPr>
                              <w:t> </w:t>
                            </w:r>
                            <w:r>
                              <w:rPr>
                                <w:color w:val="1F1F1F"/>
                              </w:rPr>
                              <w:t>the</w:t>
                            </w:r>
                            <w:r>
                              <w:rPr>
                                <w:color w:val="1F1F1F"/>
                                <w:spacing w:val="-10"/>
                              </w:rPr>
                              <w:t> </w:t>
                            </w:r>
                            <w:r>
                              <w:rPr>
                                <w:color w:val="1F1F1F"/>
                              </w:rPr>
                              <w:t>sample (86 respondents). Data were collected via questionnaires, and analysis was conducted</w:t>
                            </w:r>
                            <w:r>
                              <w:rPr>
                                <w:color w:val="1F1F1F"/>
                                <w:spacing w:val="-9"/>
                              </w:rPr>
                              <w:t> </w:t>
                            </w:r>
                            <w:r>
                              <w:rPr>
                                <w:color w:val="1F1F1F"/>
                              </w:rPr>
                              <w:t>using</w:t>
                            </w:r>
                            <w:r>
                              <w:rPr>
                                <w:color w:val="1F1F1F"/>
                                <w:spacing w:val="-9"/>
                              </w:rPr>
                              <w:t> </w:t>
                            </w:r>
                            <w:r>
                              <w:rPr>
                                <w:color w:val="1F1F1F"/>
                              </w:rPr>
                              <w:t>univariate</w:t>
                            </w:r>
                            <w:r>
                              <w:rPr>
                                <w:color w:val="1F1F1F"/>
                                <w:spacing w:val="-9"/>
                              </w:rPr>
                              <w:t> </w:t>
                            </w:r>
                            <w:r>
                              <w:rPr>
                                <w:color w:val="1F1F1F"/>
                              </w:rPr>
                              <w:t>and</w:t>
                            </w:r>
                            <w:r>
                              <w:rPr>
                                <w:color w:val="1F1F1F"/>
                                <w:spacing w:val="-9"/>
                              </w:rPr>
                              <w:t> </w:t>
                            </w:r>
                            <w:r>
                              <w:rPr>
                                <w:color w:val="1F1F1F"/>
                              </w:rPr>
                              <w:t>bivariate</w:t>
                            </w:r>
                            <w:r>
                              <w:rPr>
                                <w:color w:val="1F1F1F"/>
                                <w:spacing w:val="-10"/>
                              </w:rPr>
                              <w:t> </w:t>
                            </w:r>
                            <w:r>
                              <w:rPr>
                                <w:color w:val="1F1F1F"/>
                              </w:rPr>
                              <w:t>methods,</w:t>
                            </w:r>
                            <w:r>
                              <w:rPr>
                                <w:color w:val="1F1F1F"/>
                                <w:spacing w:val="-9"/>
                              </w:rPr>
                              <w:t> </w:t>
                            </w:r>
                            <w:r>
                              <w:rPr>
                                <w:color w:val="1F1F1F"/>
                              </w:rPr>
                              <w:t>specifically</w:t>
                            </w:r>
                            <w:r>
                              <w:rPr>
                                <w:color w:val="1F1F1F"/>
                                <w:spacing w:val="-9"/>
                              </w:rPr>
                              <w:t> </w:t>
                            </w:r>
                            <w:r>
                              <w:rPr>
                                <w:color w:val="1F1F1F"/>
                              </w:rPr>
                              <w:t>the</w:t>
                            </w:r>
                            <w:r>
                              <w:rPr>
                                <w:color w:val="1F1F1F"/>
                                <w:spacing w:val="-10"/>
                              </w:rPr>
                              <w:t> </w:t>
                            </w:r>
                            <w:r>
                              <w:rPr>
                                <w:color w:val="1F1F1F"/>
                              </w:rPr>
                              <w:t>Spearman Rank</w:t>
                            </w:r>
                            <w:r>
                              <w:rPr>
                                <w:color w:val="1F1F1F"/>
                                <w:spacing w:val="-8"/>
                              </w:rPr>
                              <w:t> </w:t>
                            </w:r>
                            <w:r>
                              <w:rPr>
                                <w:color w:val="1F1F1F"/>
                              </w:rPr>
                              <w:t>test.</w:t>
                            </w:r>
                            <w:r>
                              <w:rPr>
                                <w:color w:val="1F1F1F"/>
                                <w:spacing w:val="-4"/>
                              </w:rPr>
                              <w:t> </w:t>
                            </w:r>
                            <w:r>
                              <w:rPr>
                                <w:color w:val="1F1F1F"/>
                              </w:rPr>
                              <w:t>The</w:t>
                            </w:r>
                            <w:r>
                              <w:rPr>
                                <w:color w:val="1F1F1F"/>
                                <w:spacing w:val="-5"/>
                              </w:rPr>
                              <w:t> </w:t>
                            </w:r>
                            <w:r>
                              <w:rPr>
                                <w:color w:val="1F1F1F"/>
                              </w:rPr>
                              <w:t>results</w:t>
                            </w:r>
                            <w:r>
                              <w:rPr>
                                <w:color w:val="1F1F1F"/>
                                <w:spacing w:val="-4"/>
                              </w:rPr>
                              <w:t> </w:t>
                            </w:r>
                            <w:r>
                              <w:rPr>
                                <w:color w:val="1F1F1F"/>
                              </w:rPr>
                              <w:t>showed</w:t>
                            </w:r>
                            <w:r>
                              <w:rPr>
                                <w:color w:val="1F1F1F"/>
                                <w:spacing w:val="-4"/>
                              </w:rPr>
                              <w:t> </w:t>
                            </w:r>
                            <w:r>
                              <w:rPr>
                                <w:color w:val="1F1F1F"/>
                              </w:rPr>
                              <w:t>that</w:t>
                            </w:r>
                            <w:r>
                              <w:rPr>
                                <w:color w:val="1F1F1F"/>
                                <w:spacing w:val="-3"/>
                              </w:rPr>
                              <w:t> </w:t>
                            </w:r>
                            <w:r>
                              <w:rPr>
                                <w:color w:val="1F1F1F"/>
                              </w:rPr>
                              <w:t>the</w:t>
                            </w:r>
                            <w:r>
                              <w:rPr>
                                <w:color w:val="1F1F1F"/>
                                <w:spacing w:val="-3"/>
                              </w:rPr>
                              <w:t> </w:t>
                            </w:r>
                            <w:r>
                              <w:rPr>
                                <w:color w:val="1F1F1F"/>
                              </w:rPr>
                              <w:t>majority</w:t>
                            </w:r>
                            <w:r>
                              <w:rPr>
                                <w:color w:val="1F1F1F"/>
                                <w:spacing w:val="-5"/>
                              </w:rPr>
                              <w:t> </w:t>
                            </w:r>
                            <w:r>
                              <w:rPr>
                                <w:color w:val="1F1F1F"/>
                              </w:rPr>
                              <w:t>of</w:t>
                            </w:r>
                            <w:r>
                              <w:rPr>
                                <w:color w:val="1F1F1F"/>
                                <w:spacing w:val="-4"/>
                              </w:rPr>
                              <w:t> </w:t>
                            </w:r>
                            <w:r>
                              <w:rPr>
                                <w:color w:val="1F1F1F"/>
                              </w:rPr>
                              <w:t>respondents</w:t>
                            </w:r>
                            <w:r>
                              <w:rPr>
                                <w:color w:val="1F1F1F"/>
                                <w:spacing w:val="-3"/>
                              </w:rPr>
                              <w:t> </w:t>
                            </w:r>
                            <w:r>
                              <w:rPr>
                                <w:color w:val="1F1F1F"/>
                              </w:rPr>
                              <w:t>(81</w:t>
                            </w:r>
                            <w:r>
                              <w:rPr>
                                <w:color w:val="1F1F1F"/>
                                <w:spacing w:val="-3"/>
                              </w:rPr>
                              <w:t> </w:t>
                            </w:r>
                            <w:r>
                              <w:rPr>
                                <w:color w:val="1F1F1F"/>
                              </w:rPr>
                              <w:t>or</w:t>
                            </w:r>
                            <w:r>
                              <w:rPr>
                                <w:color w:val="1F1F1F"/>
                                <w:spacing w:val="-4"/>
                              </w:rPr>
                              <w:t> </w:t>
                            </w:r>
                            <w:r>
                              <w:rPr>
                                <w:color w:val="1F1F1F"/>
                              </w:rPr>
                              <w:t>94.2%) possessed high work motivation, while 67 respondents (77.9%) returned medical records on time.</w:t>
                            </w:r>
                            <w:r>
                              <w:rPr>
                                <w:color w:val="1F1F1F"/>
                                <w:spacing w:val="-2"/>
                              </w:rPr>
                              <w:t> </w:t>
                            </w:r>
                            <w:r>
                              <w:rPr>
                                <w:color w:val="1F1F1F"/>
                              </w:rPr>
                              <w:t>The</w:t>
                            </w:r>
                            <w:r>
                              <w:rPr>
                                <w:color w:val="1F1F1F"/>
                                <w:spacing w:val="-2"/>
                              </w:rPr>
                              <w:t> </w:t>
                            </w:r>
                            <w:r>
                              <w:rPr>
                                <w:color w:val="1F1F1F"/>
                              </w:rPr>
                              <w:t>Spearman</w:t>
                            </w:r>
                            <w:r>
                              <w:rPr>
                                <w:color w:val="1F1F1F"/>
                                <w:spacing w:val="-2"/>
                              </w:rPr>
                              <w:t> </w:t>
                            </w:r>
                            <w:r>
                              <w:rPr>
                                <w:color w:val="1F1F1F"/>
                              </w:rPr>
                              <w:t>Rank</w:t>
                            </w:r>
                            <w:r>
                              <w:rPr>
                                <w:color w:val="1F1F1F"/>
                                <w:spacing w:val="-3"/>
                              </w:rPr>
                              <w:t> </w:t>
                            </w:r>
                            <w:r>
                              <w:rPr>
                                <w:color w:val="1F1F1F"/>
                              </w:rPr>
                              <w:t>test yielded a p-value</w:t>
                            </w:r>
                            <w:r>
                              <w:rPr>
                                <w:color w:val="1F1F1F"/>
                                <w:spacing w:val="-3"/>
                              </w:rPr>
                              <w:t> </w:t>
                            </w:r>
                            <w:r>
                              <w:rPr>
                                <w:color w:val="1F1F1F"/>
                              </w:rPr>
                              <w:t>of 0.000 (p &lt; 0.05) and a correlation coefficient (r) of 0.448, indicating a significant relationship of moderate strength and positive direction. Thus, it can be concluded that higher work motivation among nurses is associated with a greater</w:t>
                            </w:r>
                            <w:r>
                              <w:rPr>
                                <w:color w:val="1F1F1F"/>
                                <w:spacing w:val="-3"/>
                              </w:rPr>
                              <w:t> </w:t>
                            </w:r>
                            <w:r>
                              <w:rPr>
                                <w:color w:val="1F1F1F"/>
                              </w:rPr>
                              <w:t>tendency</w:t>
                            </w:r>
                            <w:r>
                              <w:rPr>
                                <w:color w:val="1F1F1F"/>
                                <w:spacing w:val="-2"/>
                              </w:rPr>
                              <w:t> </w:t>
                            </w:r>
                            <w:r>
                              <w:rPr>
                                <w:color w:val="1F1F1F"/>
                              </w:rPr>
                              <w:t>for medical</w:t>
                            </w:r>
                            <w:r>
                              <w:rPr>
                                <w:color w:val="1F1F1F"/>
                                <w:spacing w:val="-3"/>
                              </w:rPr>
                              <w:t> </w:t>
                            </w:r>
                            <w:r>
                              <w:rPr>
                                <w:color w:val="1F1F1F"/>
                              </w:rPr>
                              <w:t>records to</w:t>
                            </w:r>
                            <w:r>
                              <w:rPr>
                                <w:color w:val="1F1F1F"/>
                                <w:spacing w:val="-1"/>
                              </w:rPr>
                              <w:t> </w:t>
                            </w:r>
                            <w:r>
                              <w:rPr>
                                <w:color w:val="1F1F1F"/>
                              </w:rPr>
                              <w:t>be</w:t>
                            </w:r>
                            <w:r>
                              <w:rPr>
                                <w:color w:val="1F1F1F"/>
                                <w:spacing w:val="-2"/>
                              </w:rPr>
                              <w:t> </w:t>
                            </w:r>
                            <w:r>
                              <w:rPr>
                                <w:color w:val="1F1F1F"/>
                              </w:rPr>
                              <w:t>returned</w:t>
                            </w:r>
                            <w:r>
                              <w:rPr>
                                <w:color w:val="1F1F1F"/>
                                <w:spacing w:val="-3"/>
                              </w:rPr>
                              <w:t> </w:t>
                            </w:r>
                            <w:r>
                              <w:rPr>
                                <w:color w:val="1F1F1F"/>
                              </w:rPr>
                              <w:t>on time</w:t>
                            </w:r>
                            <w:r>
                              <w:rPr>
                                <w:color w:val="1F1F1F"/>
                                <w:spacing w:val="-2"/>
                              </w:rPr>
                              <w:t> </w:t>
                            </w:r>
                            <w:r>
                              <w:rPr>
                                <w:color w:val="1F1F1F"/>
                              </w:rPr>
                              <w:t>at</w:t>
                            </w:r>
                            <w:r>
                              <w:rPr>
                                <w:color w:val="1F1F1F"/>
                                <w:spacing w:val="-3"/>
                              </w:rPr>
                              <w:t> </w:t>
                            </w:r>
                            <w:r>
                              <w:rPr>
                                <w:color w:val="1F1F1F"/>
                              </w:rPr>
                              <w:t>RSUD</w:t>
                            </w:r>
                            <w:r>
                              <w:rPr>
                                <w:color w:val="1F1F1F"/>
                                <w:spacing w:val="-4"/>
                              </w:rPr>
                              <w:t> </w:t>
                            </w:r>
                            <w:r>
                              <w:rPr>
                                <w:color w:val="1F1F1F"/>
                              </w:rPr>
                              <w:t>Raden Mattaher, Jambi City.</w:t>
                            </w:r>
                          </w:p>
                        </w:txbxContent>
                      </wps:txbx>
                      <wps:bodyPr wrap="square" lIns="0" tIns="0" rIns="0" bIns="0" rtlCol="0">
                        <a:noAutofit/>
                      </wps:bodyPr>
                    </wps:wsp>
                  </a:graphicData>
                </a:graphic>
              </wp:anchor>
            </w:drawing>
          </mc:Choice>
          <mc:Fallback>
            <w:pict>
              <v:shape style="position:absolute;margin-left:126.099998pt;margin-top:15.51457pt;width:371.6pt;height:289.75pt;mso-position-horizontal-relative:page;mso-position-vertical-relative:paragraph;z-index:-15728640;mso-wrap-distance-left:0;mso-wrap-distance-right:0" type="#_x0000_t202" id="docshape2" filled="true" fillcolor="#f8f8f8" stroked="false">
                <v:textbox inset="0,0,0,0">
                  <w:txbxContent>
                    <w:p>
                      <w:pPr>
                        <w:pStyle w:val="BodyText"/>
                        <w:ind w:left="29" w:right="18"/>
                        <w:jc w:val="both"/>
                        <w:rPr>
                          <w:color w:val="000000"/>
                        </w:rPr>
                      </w:pPr>
                      <w:r>
                        <w:rPr>
                          <w:color w:val="1F1F1F"/>
                        </w:rPr>
                        <w:t>The timely return of medical records is a key indicator of hospital service quality. However, delays in returning medical records remain an issue that can hinder the management process and affect the quality of healthcare services. One factor suspected to be associated with the timely return of medical records is nurses' work motivation. This study aimed to determine the relationship between nurses' work motivation and the timely return of medical</w:t>
                      </w:r>
                      <w:r>
                        <w:rPr>
                          <w:color w:val="1F1F1F"/>
                          <w:spacing w:val="-15"/>
                        </w:rPr>
                        <w:t> </w:t>
                      </w:r>
                      <w:r>
                        <w:rPr>
                          <w:color w:val="1F1F1F"/>
                        </w:rPr>
                        <w:t>records</w:t>
                      </w:r>
                      <w:r>
                        <w:rPr>
                          <w:color w:val="1F1F1F"/>
                          <w:spacing w:val="-15"/>
                        </w:rPr>
                        <w:t> </w:t>
                      </w:r>
                      <w:r>
                        <w:rPr>
                          <w:color w:val="1F1F1F"/>
                        </w:rPr>
                        <w:t>at</w:t>
                      </w:r>
                      <w:r>
                        <w:rPr>
                          <w:color w:val="1F1F1F"/>
                          <w:spacing w:val="-15"/>
                        </w:rPr>
                        <w:t> </w:t>
                      </w:r>
                      <w:r>
                        <w:rPr>
                          <w:color w:val="1F1F1F"/>
                        </w:rPr>
                        <w:t>Raden</w:t>
                      </w:r>
                      <w:r>
                        <w:rPr>
                          <w:color w:val="1F1F1F"/>
                          <w:spacing w:val="-15"/>
                        </w:rPr>
                        <w:t> </w:t>
                      </w:r>
                      <w:r>
                        <w:rPr>
                          <w:color w:val="1F1F1F"/>
                        </w:rPr>
                        <w:t>Mattaher</w:t>
                      </w:r>
                      <w:r>
                        <w:rPr>
                          <w:color w:val="1F1F1F"/>
                          <w:spacing w:val="-15"/>
                        </w:rPr>
                        <w:t> </w:t>
                      </w:r>
                      <w:r>
                        <w:rPr>
                          <w:color w:val="1F1F1F"/>
                        </w:rPr>
                        <w:t>Regional</w:t>
                      </w:r>
                      <w:r>
                        <w:rPr>
                          <w:color w:val="1F1F1F"/>
                          <w:spacing w:val="-15"/>
                        </w:rPr>
                        <w:t> </w:t>
                      </w:r>
                      <w:r>
                        <w:rPr>
                          <w:color w:val="1F1F1F"/>
                        </w:rPr>
                        <w:t>General</w:t>
                      </w:r>
                      <w:r>
                        <w:rPr>
                          <w:color w:val="1F1F1F"/>
                          <w:spacing w:val="-15"/>
                        </w:rPr>
                        <w:t> </w:t>
                      </w:r>
                      <w:r>
                        <w:rPr>
                          <w:color w:val="1F1F1F"/>
                        </w:rPr>
                        <w:t>Hospital</w:t>
                      </w:r>
                      <w:r>
                        <w:rPr>
                          <w:color w:val="1F1F1F"/>
                          <w:spacing w:val="-15"/>
                        </w:rPr>
                        <w:t> </w:t>
                      </w:r>
                      <w:r>
                        <w:rPr>
                          <w:color w:val="1F1F1F"/>
                        </w:rPr>
                        <w:t>in</w:t>
                      </w:r>
                      <w:r>
                        <w:rPr>
                          <w:color w:val="1F1F1F"/>
                          <w:spacing w:val="-15"/>
                        </w:rPr>
                        <w:t> </w:t>
                      </w:r>
                      <w:r>
                        <w:rPr>
                          <w:color w:val="1F1F1F"/>
                        </w:rPr>
                        <w:t>Jambi</w:t>
                      </w:r>
                      <w:r>
                        <w:rPr>
                          <w:color w:val="1F1F1F"/>
                          <w:spacing w:val="-15"/>
                        </w:rPr>
                        <w:t> </w:t>
                      </w:r>
                      <w:r>
                        <w:rPr>
                          <w:color w:val="1F1F1F"/>
                        </w:rPr>
                        <w:t>City. This was a quantitative study with a correlational design using a cross-sectional approach. The</w:t>
                      </w:r>
                      <w:r>
                        <w:rPr>
                          <w:color w:val="1F1F1F"/>
                          <w:spacing w:val="-1"/>
                        </w:rPr>
                        <w:t> </w:t>
                      </w:r>
                      <w:r>
                        <w:rPr>
                          <w:color w:val="1F1F1F"/>
                        </w:rPr>
                        <w:t>study population consisted of all 86 nurses</w:t>
                      </w:r>
                      <w:r>
                        <w:rPr>
                          <w:color w:val="1F1F1F"/>
                          <w:spacing w:val="-1"/>
                        </w:rPr>
                        <w:t> </w:t>
                      </w:r>
                      <w:r>
                        <w:rPr>
                          <w:color w:val="1F1F1F"/>
                        </w:rPr>
                        <w:t>working in</w:t>
                      </w:r>
                      <w:r>
                        <w:rPr>
                          <w:color w:val="1F1F1F"/>
                          <w:spacing w:val="-15"/>
                        </w:rPr>
                        <w:t> </w:t>
                      </w:r>
                      <w:r>
                        <w:rPr>
                          <w:color w:val="1F1F1F"/>
                        </w:rPr>
                        <w:t>the</w:t>
                      </w:r>
                      <w:r>
                        <w:rPr>
                          <w:color w:val="1F1F1F"/>
                          <w:spacing w:val="-15"/>
                        </w:rPr>
                        <w:t> </w:t>
                      </w:r>
                      <w:r>
                        <w:rPr>
                          <w:color w:val="1F1F1F"/>
                        </w:rPr>
                        <w:t>inpatient</w:t>
                      </w:r>
                      <w:r>
                        <w:rPr>
                          <w:color w:val="1F1F1F"/>
                          <w:spacing w:val="-15"/>
                        </w:rPr>
                        <w:t> </w:t>
                      </w:r>
                      <w:r>
                        <w:rPr>
                          <w:color w:val="1F1F1F"/>
                        </w:rPr>
                        <w:t>wards</w:t>
                      </w:r>
                      <w:r>
                        <w:rPr>
                          <w:color w:val="1F1F1F"/>
                          <w:spacing w:val="-15"/>
                        </w:rPr>
                        <w:t> </w:t>
                      </w:r>
                      <w:r>
                        <w:rPr>
                          <w:color w:val="1F1F1F"/>
                        </w:rPr>
                        <w:t>of</w:t>
                      </w:r>
                      <w:r>
                        <w:rPr>
                          <w:color w:val="1F1F1F"/>
                          <w:spacing w:val="-15"/>
                        </w:rPr>
                        <w:t> </w:t>
                      </w:r>
                      <w:r>
                        <w:rPr>
                          <w:color w:val="1F1F1F"/>
                        </w:rPr>
                        <w:t>RSUD</w:t>
                      </w:r>
                      <w:r>
                        <w:rPr>
                          <w:color w:val="1F1F1F"/>
                          <w:spacing w:val="-15"/>
                        </w:rPr>
                        <w:t> </w:t>
                      </w:r>
                      <w:r>
                        <w:rPr>
                          <w:color w:val="1F1F1F"/>
                        </w:rPr>
                        <w:t>Raden</w:t>
                      </w:r>
                      <w:r>
                        <w:rPr>
                          <w:color w:val="1F1F1F"/>
                          <w:spacing w:val="-13"/>
                        </w:rPr>
                        <w:t> </w:t>
                      </w:r>
                      <w:r>
                        <w:rPr>
                          <w:color w:val="1F1F1F"/>
                        </w:rPr>
                        <w:t>Mattaher,</w:t>
                      </w:r>
                      <w:r>
                        <w:rPr>
                          <w:color w:val="1F1F1F"/>
                          <w:spacing w:val="-15"/>
                        </w:rPr>
                        <w:t> </w:t>
                      </w:r>
                      <w:r>
                        <w:rPr>
                          <w:color w:val="1F1F1F"/>
                        </w:rPr>
                        <w:t>Jambi</w:t>
                      </w:r>
                      <w:r>
                        <w:rPr>
                          <w:color w:val="1F1F1F"/>
                          <w:spacing w:val="-14"/>
                        </w:rPr>
                        <w:t> </w:t>
                      </w:r>
                      <w:r>
                        <w:rPr>
                          <w:color w:val="1F1F1F"/>
                        </w:rPr>
                        <w:t>City.</w:t>
                      </w:r>
                      <w:r>
                        <w:rPr>
                          <w:color w:val="1F1F1F"/>
                          <w:spacing w:val="-15"/>
                        </w:rPr>
                        <w:t> </w:t>
                      </w:r>
                      <w:r>
                        <w:rPr>
                          <w:color w:val="1F1F1F"/>
                        </w:rPr>
                        <w:t>A</w:t>
                      </w:r>
                      <w:r>
                        <w:rPr>
                          <w:color w:val="1F1F1F"/>
                          <w:spacing w:val="-15"/>
                        </w:rPr>
                        <w:t> </w:t>
                      </w:r>
                      <w:r>
                        <w:rPr>
                          <w:color w:val="1F1F1F"/>
                        </w:rPr>
                        <w:t>total</w:t>
                      </w:r>
                      <w:r>
                        <w:rPr>
                          <w:color w:val="1F1F1F"/>
                          <w:spacing w:val="-15"/>
                        </w:rPr>
                        <w:t> </w:t>
                      </w:r>
                      <w:r>
                        <w:rPr>
                          <w:color w:val="1F1F1F"/>
                        </w:rPr>
                        <w:t>sampling technique</w:t>
                      </w:r>
                      <w:r>
                        <w:rPr>
                          <w:color w:val="1F1F1F"/>
                          <w:spacing w:val="-9"/>
                        </w:rPr>
                        <w:t> </w:t>
                      </w:r>
                      <w:r>
                        <w:rPr>
                          <w:color w:val="1F1F1F"/>
                        </w:rPr>
                        <w:t>was</w:t>
                      </w:r>
                      <w:r>
                        <w:rPr>
                          <w:color w:val="1F1F1F"/>
                          <w:spacing w:val="-6"/>
                        </w:rPr>
                        <w:t> </w:t>
                      </w:r>
                      <w:r>
                        <w:rPr>
                          <w:color w:val="1F1F1F"/>
                        </w:rPr>
                        <w:t>employed,</w:t>
                      </w:r>
                      <w:r>
                        <w:rPr>
                          <w:color w:val="1F1F1F"/>
                          <w:spacing w:val="-5"/>
                        </w:rPr>
                        <w:t> </w:t>
                      </w:r>
                      <w:r>
                        <w:rPr>
                          <w:color w:val="1F1F1F"/>
                        </w:rPr>
                        <w:t>meaning</w:t>
                      </w:r>
                      <w:r>
                        <w:rPr>
                          <w:color w:val="1F1F1F"/>
                          <w:spacing w:val="-6"/>
                        </w:rPr>
                        <w:t> </w:t>
                      </w:r>
                      <w:r>
                        <w:rPr>
                          <w:color w:val="1F1F1F"/>
                        </w:rPr>
                        <w:t>the</w:t>
                      </w:r>
                      <w:r>
                        <w:rPr>
                          <w:color w:val="1F1F1F"/>
                          <w:spacing w:val="-10"/>
                        </w:rPr>
                        <w:t> </w:t>
                      </w:r>
                      <w:r>
                        <w:rPr>
                          <w:color w:val="1F1F1F"/>
                        </w:rPr>
                        <w:t>entire</w:t>
                      </w:r>
                      <w:r>
                        <w:rPr>
                          <w:color w:val="1F1F1F"/>
                          <w:spacing w:val="-10"/>
                        </w:rPr>
                        <w:t> </w:t>
                      </w:r>
                      <w:r>
                        <w:rPr>
                          <w:color w:val="1F1F1F"/>
                        </w:rPr>
                        <w:t>population</w:t>
                      </w:r>
                      <w:r>
                        <w:rPr>
                          <w:color w:val="1F1F1F"/>
                          <w:spacing w:val="-6"/>
                        </w:rPr>
                        <w:t> </w:t>
                      </w:r>
                      <w:r>
                        <w:rPr>
                          <w:color w:val="1F1F1F"/>
                        </w:rPr>
                        <w:t>served</w:t>
                      </w:r>
                      <w:r>
                        <w:rPr>
                          <w:color w:val="1F1F1F"/>
                          <w:spacing w:val="-7"/>
                        </w:rPr>
                        <w:t> </w:t>
                      </w:r>
                      <w:r>
                        <w:rPr>
                          <w:color w:val="1F1F1F"/>
                        </w:rPr>
                        <w:t>as</w:t>
                      </w:r>
                      <w:r>
                        <w:rPr>
                          <w:color w:val="1F1F1F"/>
                          <w:spacing w:val="-7"/>
                        </w:rPr>
                        <w:t> </w:t>
                      </w:r>
                      <w:r>
                        <w:rPr>
                          <w:color w:val="1F1F1F"/>
                        </w:rPr>
                        <w:t>the</w:t>
                      </w:r>
                      <w:r>
                        <w:rPr>
                          <w:color w:val="1F1F1F"/>
                          <w:spacing w:val="-10"/>
                        </w:rPr>
                        <w:t> </w:t>
                      </w:r>
                      <w:r>
                        <w:rPr>
                          <w:color w:val="1F1F1F"/>
                        </w:rPr>
                        <w:t>sample (86 respondents). Data were collected via questionnaires, and analysis was conducted</w:t>
                      </w:r>
                      <w:r>
                        <w:rPr>
                          <w:color w:val="1F1F1F"/>
                          <w:spacing w:val="-9"/>
                        </w:rPr>
                        <w:t> </w:t>
                      </w:r>
                      <w:r>
                        <w:rPr>
                          <w:color w:val="1F1F1F"/>
                        </w:rPr>
                        <w:t>using</w:t>
                      </w:r>
                      <w:r>
                        <w:rPr>
                          <w:color w:val="1F1F1F"/>
                          <w:spacing w:val="-9"/>
                        </w:rPr>
                        <w:t> </w:t>
                      </w:r>
                      <w:r>
                        <w:rPr>
                          <w:color w:val="1F1F1F"/>
                        </w:rPr>
                        <w:t>univariate</w:t>
                      </w:r>
                      <w:r>
                        <w:rPr>
                          <w:color w:val="1F1F1F"/>
                          <w:spacing w:val="-9"/>
                        </w:rPr>
                        <w:t> </w:t>
                      </w:r>
                      <w:r>
                        <w:rPr>
                          <w:color w:val="1F1F1F"/>
                        </w:rPr>
                        <w:t>and</w:t>
                      </w:r>
                      <w:r>
                        <w:rPr>
                          <w:color w:val="1F1F1F"/>
                          <w:spacing w:val="-9"/>
                        </w:rPr>
                        <w:t> </w:t>
                      </w:r>
                      <w:r>
                        <w:rPr>
                          <w:color w:val="1F1F1F"/>
                        </w:rPr>
                        <w:t>bivariate</w:t>
                      </w:r>
                      <w:r>
                        <w:rPr>
                          <w:color w:val="1F1F1F"/>
                          <w:spacing w:val="-10"/>
                        </w:rPr>
                        <w:t> </w:t>
                      </w:r>
                      <w:r>
                        <w:rPr>
                          <w:color w:val="1F1F1F"/>
                        </w:rPr>
                        <w:t>methods,</w:t>
                      </w:r>
                      <w:r>
                        <w:rPr>
                          <w:color w:val="1F1F1F"/>
                          <w:spacing w:val="-9"/>
                        </w:rPr>
                        <w:t> </w:t>
                      </w:r>
                      <w:r>
                        <w:rPr>
                          <w:color w:val="1F1F1F"/>
                        </w:rPr>
                        <w:t>specifically</w:t>
                      </w:r>
                      <w:r>
                        <w:rPr>
                          <w:color w:val="1F1F1F"/>
                          <w:spacing w:val="-9"/>
                        </w:rPr>
                        <w:t> </w:t>
                      </w:r>
                      <w:r>
                        <w:rPr>
                          <w:color w:val="1F1F1F"/>
                        </w:rPr>
                        <w:t>the</w:t>
                      </w:r>
                      <w:r>
                        <w:rPr>
                          <w:color w:val="1F1F1F"/>
                          <w:spacing w:val="-10"/>
                        </w:rPr>
                        <w:t> </w:t>
                      </w:r>
                      <w:r>
                        <w:rPr>
                          <w:color w:val="1F1F1F"/>
                        </w:rPr>
                        <w:t>Spearman Rank</w:t>
                      </w:r>
                      <w:r>
                        <w:rPr>
                          <w:color w:val="1F1F1F"/>
                          <w:spacing w:val="-8"/>
                        </w:rPr>
                        <w:t> </w:t>
                      </w:r>
                      <w:r>
                        <w:rPr>
                          <w:color w:val="1F1F1F"/>
                        </w:rPr>
                        <w:t>test.</w:t>
                      </w:r>
                      <w:r>
                        <w:rPr>
                          <w:color w:val="1F1F1F"/>
                          <w:spacing w:val="-4"/>
                        </w:rPr>
                        <w:t> </w:t>
                      </w:r>
                      <w:r>
                        <w:rPr>
                          <w:color w:val="1F1F1F"/>
                        </w:rPr>
                        <w:t>The</w:t>
                      </w:r>
                      <w:r>
                        <w:rPr>
                          <w:color w:val="1F1F1F"/>
                          <w:spacing w:val="-5"/>
                        </w:rPr>
                        <w:t> </w:t>
                      </w:r>
                      <w:r>
                        <w:rPr>
                          <w:color w:val="1F1F1F"/>
                        </w:rPr>
                        <w:t>results</w:t>
                      </w:r>
                      <w:r>
                        <w:rPr>
                          <w:color w:val="1F1F1F"/>
                          <w:spacing w:val="-4"/>
                        </w:rPr>
                        <w:t> </w:t>
                      </w:r>
                      <w:r>
                        <w:rPr>
                          <w:color w:val="1F1F1F"/>
                        </w:rPr>
                        <w:t>showed</w:t>
                      </w:r>
                      <w:r>
                        <w:rPr>
                          <w:color w:val="1F1F1F"/>
                          <w:spacing w:val="-4"/>
                        </w:rPr>
                        <w:t> </w:t>
                      </w:r>
                      <w:r>
                        <w:rPr>
                          <w:color w:val="1F1F1F"/>
                        </w:rPr>
                        <w:t>that</w:t>
                      </w:r>
                      <w:r>
                        <w:rPr>
                          <w:color w:val="1F1F1F"/>
                          <w:spacing w:val="-3"/>
                        </w:rPr>
                        <w:t> </w:t>
                      </w:r>
                      <w:r>
                        <w:rPr>
                          <w:color w:val="1F1F1F"/>
                        </w:rPr>
                        <w:t>the</w:t>
                      </w:r>
                      <w:r>
                        <w:rPr>
                          <w:color w:val="1F1F1F"/>
                          <w:spacing w:val="-3"/>
                        </w:rPr>
                        <w:t> </w:t>
                      </w:r>
                      <w:r>
                        <w:rPr>
                          <w:color w:val="1F1F1F"/>
                        </w:rPr>
                        <w:t>majority</w:t>
                      </w:r>
                      <w:r>
                        <w:rPr>
                          <w:color w:val="1F1F1F"/>
                          <w:spacing w:val="-5"/>
                        </w:rPr>
                        <w:t> </w:t>
                      </w:r>
                      <w:r>
                        <w:rPr>
                          <w:color w:val="1F1F1F"/>
                        </w:rPr>
                        <w:t>of</w:t>
                      </w:r>
                      <w:r>
                        <w:rPr>
                          <w:color w:val="1F1F1F"/>
                          <w:spacing w:val="-4"/>
                        </w:rPr>
                        <w:t> </w:t>
                      </w:r>
                      <w:r>
                        <w:rPr>
                          <w:color w:val="1F1F1F"/>
                        </w:rPr>
                        <w:t>respondents</w:t>
                      </w:r>
                      <w:r>
                        <w:rPr>
                          <w:color w:val="1F1F1F"/>
                          <w:spacing w:val="-3"/>
                        </w:rPr>
                        <w:t> </w:t>
                      </w:r>
                      <w:r>
                        <w:rPr>
                          <w:color w:val="1F1F1F"/>
                        </w:rPr>
                        <w:t>(81</w:t>
                      </w:r>
                      <w:r>
                        <w:rPr>
                          <w:color w:val="1F1F1F"/>
                          <w:spacing w:val="-3"/>
                        </w:rPr>
                        <w:t> </w:t>
                      </w:r>
                      <w:r>
                        <w:rPr>
                          <w:color w:val="1F1F1F"/>
                        </w:rPr>
                        <w:t>or</w:t>
                      </w:r>
                      <w:r>
                        <w:rPr>
                          <w:color w:val="1F1F1F"/>
                          <w:spacing w:val="-4"/>
                        </w:rPr>
                        <w:t> </w:t>
                      </w:r>
                      <w:r>
                        <w:rPr>
                          <w:color w:val="1F1F1F"/>
                        </w:rPr>
                        <w:t>94.2%) possessed high work motivation, while 67 respondents (77.9%) returned medical records on time.</w:t>
                      </w:r>
                      <w:r>
                        <w:rPr>
                          <w:color w:val="1F1F1F"/>
                          <w:spacing w:val="-2"/>
                        </w:rPr>
                        <w:t> </w:t>
                      </w:r>
                      <w:r>
                        <w:rPr>
                          <w:color w:val="1F1F1F"/>
                        </w:rPr>
                        <w:t>The</w:t>
                      </w:r>
                      <w:r>
                        <w:rPr>
                          <w:color w:val="1F1F1F"/>
                          <w:spacing w:val="-2"/>
                        </w:rPr>
                        <w:t> </w:t>
                      </w:r>
                      <w:r>
                        <w:rPr>
                          <w:color w:val="1F1F1F"/>
                        </w:rPr>
                        <w:t>Spearman</w:t>
                      </w:r>
                      <w:r>
                        <w:rPr>
                          <w:color w:val="1F1F1F"/>
                          <w:spacing w:val="-2"/>
                        </w:rPr>
                        <w:t> </w:t>
                      </w:r>
                      <w:r>
                        <w:rPr>
                          <w:color w:val="1F1F1F"/>
                        </w:rPr>
                        <w:t>Rank</w:t>
                      </w:r>
                      <w:r>
                        <w:rPr>
                          <w:color w:val="1F1F1F"/>
                          <w:spacing w:val="-3"/>
                        </w:rPr>
                        <w:t> </w:t>
                      </w:r>
                      <w:r>
                        <w:rPr>
                          <w:color w:val="1F1F1F"/>
                        </w:rPr>
                        <w:t>test yielded a p-value</w:t>
                      </w:r>
                      <w:r>
                        <w:rPr>
                          <w:color w:val="1F1F1F"/>
                          <w:spacing w:val="-3"/>
                        </w:rPr>
                        <w:t> </w:t>
                      </w:r>
                      <w:r>
                        <w:rPr>
                          <w:color w:val="1F1F1F"/>
                        </w:rPr>
                        <w:t>of 0.000 (p &lt; 0.05) and a correlation coefficient (r) of 0.448, indicating a significant relationship of moderate strength and positive direction. Thus, it can be concluded that higher work motivation among nurses is associated with a greater</w:t>
                      </w:r>
                      <w:r>
                        <w:rPr>
                          <w:color w:val="1F1F1F"/>
                          <w:spacing w:val="-3"/>
                        </w:rPr>
                        <w:t> </w:t>
                      </w:r>
                      <w:r>
                        <w:rPr>
                          <w:color w:val="1F1F1F"/>
                        </w:rPr>
                        <w:t>tendency</w:t>
                      </w:r>
                      <w:r>
                        <w:rPr>
                          <w:color w:val="1F1F1F"/>
                          <w:spacing w:val="-2"/>
                        </w:rPr>
                        <w:t> </w:t>
                      </w:r>
                      <w:r>
                        <w:rPr>
                          <w:color w:val="1F1F1F"/>
                        </w:rPr>
                        <w:t>for medical</w:t>
                      </w:r>
                      <w:r>
                        <w:rPr>
                          <w:color w:val="1F1F1F"/>
                          <w:spacing w:val="-3"/>
                        </w:rPr>
                        <w:t> </w:t>
                      </w:r>
                      <w:r>
                        <w:rPr>
                          <w:color w:val="1F1F1F"/>
                        </w:rPr>
                        <w:t>records to</w:t>
                      </w:r>
                      <w:r>
                        <w:rPr>
                          <w:color w:val="1F1F1F"/>
                          <w:spacing w:val="-1"/>
                        </w:rPr>
                        <w:t> </w:t>
                      </w:r>
                      <w:r>
                        <w:rPr>
                          <w:color w:val="1F1F1F"/>
                        </w:rPr>
                        <w:t>be</w:t>
                      </w:r>
                      <w:r>
                        <w:rPr>
                          <w:color w:val="1F1F1F"/>
                          <w:spacing w:val="-2"/>
                        </w:rPr>
                        <w:t> </w:t>
                      </w:r>
                      <w:r>
                        <w:rPr>
                          <w:color w:val="1F1F1F"/>
                        </w:rPr>
                        <w:t>returned</w:t>
                      </w:r>
                      <w:r>
                        <w:rPr>
                          <w:color w:val="1F1F1F"/>
                          <w:spacing w:val="-3"/>
                        </w:rPr>
                        <w:t> </w:t>
                      </w:r>
                      <w:r>
                        <w:rPr>
                          <w:color w:val="1F1F1F"/>
                        </w:rPr>
                        <w:t>on time</w:t>
                      </w:r>
                      <w:r>
                        <w:rPr>
                          <w:color w:val="1F1F1F"/>
                          <w:spacing w:val="-2"/>
                        </w:rPr>
                        <w:t> </w:t>
                      </w:r>
                      <w:r>
                        <w:rPr>
                          <w:color w:val="1F1F1F"/>
                        </w:rPr>
                        <w:t>at</w:t>
                      </w:r>
                      <w:r>
                        <w:rPr>
                          <w:color w:val="1F1F1F"/>
                          <w:spacing w:val="-3"/>
                        </w:rPr>
                        <w:t> </w:t>
                      </w:r>
                      <w:r>
                        <w:rPr>
                          <w:color w:val="1F1F1F"/>
                        </w:rPr>
                        <w:t>RSUD</w:t>
                      </w:r>
                      <w:r>
                        <w:rPr>
                          <w:color w:val="1F1F1F"/>
                          <w:spacing w:val="-4"/>
                        </w:rPr>
                        <w:t> </w:t>
                      </w:r>
                      <w:r>
                        <w:rPr>
                          <w:color w:val="1F1F1F"/>
                        </w:rPr>
                        <w:t>Raden Mattaher, Jambi City.</w:t>
                      </w:r>
                    </w:p>
                  </w:txbxContent>
                </v:textbox>
                <v:fill type="solid"/>
                <w10:wrap type="topAndBottom"/>
              </v:shape>
            </w:pict>
          </mc:Fallback>
        </mc:AlternateContent>
      </w:r>
    </w:p>
    <w:p>
      <w:pPr>
        <w:pStyle w:val="BodyText"/>
        <w:rPr>
          <w:b/>
        </w:rPr>
      </w:pPr>
    </w:p>
    <w:p>
      <w:pPr>
        <w:pStyle w:val="BodyText"/>
        <w:rPr>
          <w:b/>
        </w:rPr>
      </w:pPr>
    </w:p>
    <w:p>
      <w:pPr>
        <w:pStyle w:val="BodyText"/>
        <w:spacing w:before="252"/>
        <w:rPr>
          <w:b/>
        </w:rPr>
      </w:pPr>
    </w:p>
    <w:p>
      <w:pPr>
        <w:pStyle w:val="BodyText"/>
        <w:ind w:left="863"/>
      </w:pPr>
      <w:r>
        <w:rPr>
          <w:b/>
        </w:rPr>
        <w:t>Keywords:</w:t>
      </w:r>
      <w:r>
        <w:rPr>
          <w:b/>
          <w:spacing w:val="-6"/>
        </w:rPr>
        <w:t> </w:t>
      </w:r>
      <w:r>
        <w:rPr/>
        <w:t>Timeliness,</w:t>
      </w:r>
      <w:r>
        <w:rPr>
          <w:spacing w:val="-1"/>
        </w:rPr>
        <w:t> </w:t>
      </w:r>
      <w:r>
        <w:rPr/>
        <w:t>work</w:t>
      </w:r>
      <w:r>
        <w:rPr>
          <w:spacing w:val="-4"/>
        </w:rPr>
        <w:t> </w:t>
      </w:r>
      <w:r>
        <w:rPr/>
        <w:t>motivation,</w:t>
      </w:r>
      <w:r>
        <w:rPr>
          <w:spacing w:val="-3"/>
        </w:rPr>
        <w:t> </w:t>
      </w:r>
      <w:r>
        <w:rPr/>
        <w:t>nurses,</w:t>
      </w:r>
      <w:r>
        <w:rPr>
          <w:spacing w:val="-2"/>
        </w:rPr>
        <w:t> </w:t>
      </w:r>
      <w:r>
        <w:rPr/>
        <w:t>medical</w:t>
      </w:r>
      <w:r>
        <w:rPr>
          <w:spacing w:val="-1"/>
        </w:rPr>
        <w:t> </w:t>
      </w:r>
      <w:r>
        <w:rPr/>
        <w:t>record</w:t>
      </w:r>
      <w:r>
        <w:rPr>
          <w:spacing w:val="-1"/>
        </w:rPr>
        <w:t> </w:t>
      </w:r>
      <w:r>
        <w:rPr>
          <w:spacing w:val="-2"/>
        </w:rPr>
        <w:t>return.</w:t>
      </w:r>
    </w:p>
    <w:sectPr>
      <w:footerReference w:type="default" r:id="rId5"/>
      <w:type w:val="continuous"/>
      <w:pgSz w:w="11920" w:h="16860"/>
      <w:pgMar w:header="0" w:footer="1502" w:top="1400" w:bottom="1700" w:left="1700" w:right="170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562240">
              <wp:simplePos x="0" y="0"/>
              <wp:positionH relativeFrom="page">
                <wp:posOffset>3659504</wp:posOffset>
              </wp:positionH>
              <wp:positionV relativeFrom="page">
                <wp:posOffset>9606815</wp:posOffset>
              </wp:positionV>
              <wp:extent cx="13017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30175" cy="180975"/>
                      </a:xfrm>
                      <a:prstGeom prst="rect">
                        <a:avLst/>
                      </a:prstGeom>
                    </wps:spPr>
                    <wps:txbx>
                      <w:txbxContent>
                        <w:p>
                          <w:pPr>
                            <w:spacing w:before="11"/>
                            <w:ind w:left="20" w:right="0" w:firstLine="0"/>
                            <w:jc w:val="left"/>
                            <w:rPr>
                              <w:sz w:val="22"/>
                            </w:rPr>
                          </w:pPr>
                          <w:r>
                            <w:rPr>
                              <w:spacing w:val="-5"/>
                              <w:sz w:val="22"/>
                            </w:rPr>
                            <w:t>ix</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8.149994pt;margin-top:756.442139pt;width:10.25pt;height:14.25pt;mso-position-horizontal-relative:page;mso-position-vertical-relative:page;z-index:-15754240" type="#_x0000_t202" id="docshape1" filled="false" stroked="false">
              <v:textbox inset="0,0,0,0">
                <w:txbxContent>
                  <w:p>
                    <w:pPr>
                      <w:spacing w:before="11"/>
                      <w:ind w:left="20" w:right="0" w:firstLine="0"/>
                      <w:jc w:val="left"/>
                      <w:rPr>
                        <w:sz w:val="22"/>
                      </w:rPr>
                    </w:pPr>
                    <w:r>
                      <w:rPr>
                        <w:spacing w:val="-5"/>
                        <w:sz w:val="22"/>
                      </w:rPr>
                      <w:t>ix</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i/>
      <w:iCs/>
      <w:sz w:val="24"/>
      <w:szCs w:val="24"/>
      <w:lang w:val="en-US" w:eastAsia="en-US" w:bidi="ar-SA"/>
    </w:rPr>
  </w:style>
  <w:style w:styleId="Heading1" w:type="paragraph">
    <w:name w:val="Heading 1"/>
    <w:basedOn w:val="Normal"/>
    <w:uiPriority w:val="1"/>
    <w:qFormat/>
    <w:pPr>
      <w:spacing w:before="1"/>
      <w:ind w:left="660" w:right="145"/>
      <w:jc w:val="center"/>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ind w:left="660" w:right="281"/>
      <w:jc w:val="center"/>
      <w:outlineLvl w:val="2"/>
    </w:pPr>
    <w:rPr>
      <w:rFonts w:ascii="Times New Roman" w:hAnsi="Times New Roman" w:eastAsia="Times New Roman" w:cs="Times New Roman"/>
      <w:b/>
      <w:bCs/>
      <w:i/>
      <w:i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14s</dc:creator>
  <dcterms:created xsi:type="dcterms:W3CDTF">2026-07-30T14:24:59Z</dcterms:created>
  <dcterms:modified xsi:type="dcterms:W3CDTF">2026-07-30T14:24:59Z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2021</vt:lpwstr>
  </property>
  <property fmtid="{D5CDD505-2E9C-101B-9397-08002B2CF9AE}" pid="5" name="LastSaved">
    <vt:filetime>2026-07-30T00:00:00Z</vt:filetime>
  </property>
  <property fmtid="{D5CDD505-2E9C-101B-9397-08002B2CF9AE}" pid="6" name="Producer">
    <vt:lpwstr>Microsoft® Word 2021</vt:lpwstr>
  </property>
</Properties>
</file>