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76" w:lineRule="auto" w:before="208"/>
        <w:ind w:right="644"/>
      </w:pPr>
      <w:r>
        <w:rPr/>
        <w:t>THE</w:t>
      </w:r>
      <w:r>
        <w:rPr>
          <w:spacing w:val="-4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DISMINORE</w:t>
      </w:r>
      <w:r>
        <w:rPr>
          <w:spacing w:val="-4"/>
        </w:rPr>
        <w:t> </w:t>
      </w:r>
      <w:r>
        <w:rPr/>
        <w:t>GYMNASTICS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LOSE</w:t>
      </w:r>
      <w:r>
        <w:rPr>
          <w:spacing w:val="-57"/>
        </w:rPr>
        <w:t> </w:t>
      </w:r>
      <w:r>
        <w:rPr/>
        <w:t>SCALE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MENSTRUAL PAIN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STUDENTS</w:t>
      </w:r>
    </w:p>
    <w:p>
      <w:pPr>
        <w:spacing w:before="1"/>
        <w:ind w:left="1101" w:right="638" w:firstLine="0"/>
        <w:jc w:val="center"/>
        <w:rPr>
          <w:b/>
          <w:sz w:val="24"/>
        </w:rPr>
      </w:pPr>
      <w:r>
        <w:rPr>
          <w:b/>
          <w:sz w:val="24"/>
        </w:rPr>
        <w:t>WHITE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GARUDA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STIKES</w:t>
      </w:r>
    </w:p>
    <w:p>
      <w:pPr>
        <w:pStyle w:val="BodyText"/>
        <w:rPr>
          <w:b/>
          <w:sz w:val="31"/>
        </w:rPr>
      </w:pPr>
    </w:p>
    <w:p>
      <w:pPr>
        <w:pStyle w:val="Heading1"/>
      </w:pPr>
      <w:r>
        <w:rPr/>
        <w:t>ETA</w:t>
      </w:r>
      <w:r>
        <w:rPr>
          <w:spacing w:val="-4"/>
        </w:rPr>
        <w:t> </w:t>
      </w:r>
      <w:r>
        <w:rPr/>
        <w:t>CICI</w:t>
      </w:r>
      <w:r>
        <w:rPr>
          <w:spacing w:val="-4"/>
        </w:rPr>
        <w:t> </w:t>
      </w:r>
      <w:r>
        <w:rPr/>
        <w:t>SEPTIA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3141"/>
      </w:pPr>
      <w:r>
        <w:rPr/>
        <w:t>Nursing</w:t>
      </w:r>
      <w:r>
        <w:rPr>
          <w:spacing w:val="-2"/>
        </w:rPr>
        <w:t> </w:t>
      </w:r>
      <w:r>
        <w:rPr/>
        <w:t>D-III</w:t>
      </w:r>
      <w:r>
        <w:rPr>
          <w:spacing w:val="-2"/>
        </w:rPr>
        <w:t> </w:t>
      </w:r>
      <w:r>
        <w:rPr/>
        <w:t>Study</w:t>
      </w:r>
      <w:r>
        <w:rPr>
          <w:spacing w:val="-2"/>
        </w:rPr>
        <w:t> </w:t>
      </w:r>
      <w:r>
        <w:rPr/>
        <w:t>Program</w:t>
      </w:r>
    </w:p>
    <w:p>
      <w:pPr>
        <w:pStyle w:val="BodyText"/>
        <w:spacing w:line="276" w:lineRule="auto" w:before="40"/>
        <w:ind w:left="1633" w:right="1114" w:firstLine="244"/>
      </w:pPr>
      <w:r>
        <w:rPr/>
        <w:t>Garuda Putih Jambi College of Health Sciences in 2023</w:t>
      </w:r>
      <w:r>
        <w:rPr>
          <w:spacing w:val="1"/>
        </w:rPr>
        <w:t> </w:t>
      </w:r>
      <w:r>
        <w:rPr/>
        <w:t>Eta</w:t>
      </w:r>
      <w:r>
        <w:rPr>
          <w:spacing w:val="-3"/>
        </w:rPr>
        <w:t> </w:t>
      </w:r>
      <w:r>
        <w:rPr/>
        <w:t>Cici</w:t>
      </w:r>
      <w:r>
        <w:rPr>
          <w:spacing w:val="-3"/>
        </w:rPr>
        <w:t> </w:t>
      </w:r>
      <w:r>
        <w:rPr/>
        <w:t>Septia*,</w:t>
      </w:r>
      <w:r>
        <w:rPr>
          <w:spacing w:val="-3"/>
        </w:rPr>
        <w:t> </w:t>
      </w:r>
      <w:r>
        <w:rPr/>
        <w:t>Devi</w:t>
      </w:r>
      <w:r>
        <w:rPr>
          <w:spacing w:val="-3"/>
        </w:rPr>
        <w:t> </w:t>
      </w:r>
      <w:r>
        <w:rPr/>
        <w:t>Yusmahendra**,</w:t>
      </w:r>
      <w:r>
        <w:rPr>
          <w:spacing w:val="-3"/>
        </w:rPr>
        <w:t> </w:t>
      </w:r>
      <w:r>
        <w:rPr/>
        <w:t>Febri</w:t>
      </w:r>
      <w:r>
        <w:rPr>
          <w:spacing w:val="-2"/>
        </w:rPr>
        <w:t> </w:t>
      </w:r>
      <w:r>
        <w:rPr/>
        <w:t>Tri</w:t>
      </w:r>
      <w:r>
        <w:rPr>
          <w:spacing w:val="-2"/>
        </w:rPr>
        <w:t> </w:t>
      </w:r>
      <w:r>
        <w:rPr/>
        <w:t>Andini***</w:t>
      </w:r>
    </w:p>
    <w:p>
      <w:pPr>
        <w:pStyle w:val="BodyText"/>
        <w:spacing w:line="276" w:lineRule="auto" w:before="1"/>
        <w:ind w:left="2873" w:right="2399" w:firstLine="128"/>
      </w:pPr>
      <w:r>
        <w:rPr/>
        <w:t>Jl. RadenMattaher No. 35 Jambi</w:t>
      </w:r>
      <w:r>
        <w:rPr>
          <w:spacing w:val="1"/>
        </w:rPr>
        <w:t> </w:t>
      </w:r>
      <w:r>
        <w:rPr/>
        <w:t>Email:</w:t>
      </w:r>
      <w:r>
        <w:rPr>
          <w:spacing w:val="-9"/>
        </w:rPr>
        <w:t> </w:t>
      </w:r>
      <w:hyperlink r:id="rId5">
        <w:r>
          <w:rPr>
            <w:color w:val="0462C1"/>
            <w:u w:val="single" w:color="0462C1"/>
          </w:rPr>
          <w:t>etaciciseptia23@gmail.com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90"/>
        <w:ind w:right="642"/>
      </w:pPr>
      <w:r>
        <w:rPr/>
        <w:t>ABSTRACT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158"/>
        <w:ind w:left="588" w:right="117"/>
        <w:jc w:val="both"/>
      </w:pPr>
      <w:r>
        <w:rPr>
          <w:b/>
        </w:rPr>
        <w:t>Introduction: </w:t>
      </w:r>
      <w:r>
        <w:rPr/>
        <w:t>Menstruation is regular bleeding from the uterus as a sign that the</w:t>
      </w:r>
      <w:r>
        <w:rPr>
          <w:spacing w:val="1"/>
        </w:rPr>
        <w:t> </w:t>
      </w:r>
      <w:r>
        <w:rPr/>
        <w:t>uterine</w:t>
      </w:r>
      <w:r>
        <w:rPr>
          <w:spacing w:val="1"/>
        </w:rPr>
        <w:t> </w:t>
      </w:r>
      <w:r>
        <w:rPr/>
        <w:t>organs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functioning</w:t>
      </w:r>
      <w:r>
        <w:rPr>
          <w:spacing w:val="1"/>
        </w:rPr>
        <w:t> </w:t>
      </w:r>
      <w:r>
        <w:rPr/>
        <w:t>properly.</w:t>
      </w:r>
      <w:r>
        <w:rPr>
          <w:spacing w:val="1"/>
        </w:rPr>
        <w:t> </w:t>
      </w:r>
      <w:r>
        <w:rPr/>
        <w:t>Generally,</w:t>
      </w:r>
      <w:r>
        <w:rPr>
          <w:spacing w:val="1"/>
        </w:rPr>
        <w:t> </w:t>
      </w:r>
      <w:r>
        <w:rPr/>
        <w:t>teenagers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experience</w:t>
      </w:r>
      <w:r>
        <w:rPr>
          <w:spacing w:val="-57"/>
        </w:rPr>
        <w:t> </w:t>
      </w:r>
      <w:r>
        <w:rPr/>
        <w:t>Menarche are at the age of 12 to 16 years. Dysmenorrhea is defined as difficult</w:t>
      </w:r>
      <w:r>
        <w:rPr>
          <w:spacing w:val="1"/>
        </w:rPr>
        <w:t> </w:t>
      </w:r>
      <w:r>
        <w:rPr/>
        <w:t>menstrual flow and refers to painful cramping during menstruation. Therefore, to</w:t>
      </w:r>
      <w:r>
        <w:rPr>
          <w:spacing w:val="1"/>
        </w:rPr>
        <w:t> </w:t>
      </w:r>
      <w:r>
        <w:rPr/>
        <w:t>reduce menstrual cramps felt by the subject, one of the treatments is by applying</w:t>
      </w:r>
      <w:r>
        <w:rPr>
          <w:spacing w:val="1"/>
        </w:rPr>
        <w:t> </w:t>
      </w:r>
      <w:r>
        <w:rPr/>
        <w:t>Disminor</w:t>
      </w:r>
      <w:r>
        <w:rPr>
          <w:spacing w:val="1"/>
        </w:rPr>
        <w:t> </w:t>
      </w:r>
      <w:r>
        <w:rPr/>
        <w:t>Gymnastics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endorphins,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endorphin</w:t>
      </w:r>
      <w:r>
        <w:rPr>
          <w:spacing w:val="-1"/>
        </w:rPr>
        <w:t> </w:t>
      </w:r>
      <w:r>
        <w:rPr/>
        <w:t>hormones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reduce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relieve</w:t>
      </w:r>
      <w:r>
        <w:rPr>
          <w:spacing w:val="-3"/>
        </w:rPr>
        <w:t> </w:t>
      </w:r>
      <w:r>
        <w:rPr/>
        <w:t>the pain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person feels.</w:t>
      </w:r>
    </w:p>
    <w:p>
      <w:pPr>
        <w:pStyle w:val="BodyText"/>
        <w:spacing w:before="3"/>
        <w:ind w:left="588" w:right="126"/>
        <w:jc w:val="both"/>
      </w:pPr>
      <w:r>
        <w:rPr>
          <w:b/>
        </w:rPr>
        <w:t>Objective: </w:t>
      </w:r>
      <w:r>
        <w:rPr/>
        <w:t>To determine the effectiveness of the application of dysmenorrhea as a</w:t>
      </w:r>
      <w:r>
        <w:rPr>
          <w:spacing w:val="-57"/>
        </w:rPr>
        <w:t> </w:t>
      </w:r>
      <w:r>
        <w:rPr/>
        <w:t>treatment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6"/>
        </w:rPr>
        <w:t> </w:t>
      </w:r>
      <w:r>
        <w:rPr/>
        <w:t>effort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reduce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pain</w:t>
      </w:r>
      <w:r>
        <w:rPr>
          <w:spacing w:val="-1"/>
        </w:rPr>
        <w:t> </w:t>
      </w:r>
      <w:r>
        <w:rPr/>
        <w:t>scale in dysmenorrhea subjects.</w:t>
      </w:r>
    </w:p>
    <w:p>
      <w:pPr>
        <w:pStyle w:val="BodyText"/>
        <w:ind w:left="588" w:right="125"/>
        <w:jc w:val="both"/>
      </w:pPr>
      <w:r>
        <w:rPr>
          <w:b/>
        </w:rPr>
        <w:t>Method: </w:t>
      </w:r>
      <w:r>
        <w:rPr/>
        <w:t>This type of research is descriptive with a case study method in one</w:t>
      </w:r>
      <w:r>
        <w:rPr>
          <w:spacing w:val="1"/>
        </w:rPr>
        <w:t> </w:t>
      </w:r>
      <w:r>
        <w:rPr/>
        <w:t>subject group consisting of 5 people for 3 days. Measurements used the NRM</w:t>
      </w:r>
      <w:r>
        <w:rPr>
          <w:spacing w:val="1"/>
        </w:rPr>
        <w:t> </w:t>
      </w:r>
      <w:r>
        <w:rPr/>
        <w:t>(Numeric</w:t>
      </w:r>
      <w:r>
        <w:rPr>
          <w:spacing w:val="-2"/>
        </w:rPr>
        <w:t> </w:t>
      </w:r>
      <w:r>
        <w:rPr/>
        <w:t>Rating</w:t>
      </w:r>
      <w:r>
        <w:rPr>
          <w:spacing w:val="-2"/>
        </w:rPr>
        <w:t> </w:t>
      </w:r>
      <w:r>
        <w:rPr/>
        <w:t>Scale)</w:t>
      </w:r>
      <w:r>
        <w:rPr>
          <w:spacing w:val="-3"/>
        </w:rPr>
        <w:t> </w:t>
      </w:r>
      <w:r>
        <w:rPr/>
        <w:t>pain</w:t>
      </w:r>
      <w:r>
        <w:rPr>
          <w:spacing w:val="-2"/>
        </w:rPr>
        <w:t> </w:t>
      </w:r>
      <w:r>
        <w:rPr/>
        <w:t>scale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were</w:t>
      </w:r>
      <w:r>
        <w:rPr>
          <w:spacing w:val="-1"/>
        </w:rPr>
        <w:t> </w:t>
      </w:r>
      <w:r>
        <w:rPr/>
        <w:t>observed</w:t>
      </w:r>
      <w:r>
        <w:rPr>
          <w:spacing w:val="-7"/>
        </w:rPr>
        <w:t> </w:t>
      </w:r>
      <w:r>
        <w:rPr/>
        <w:t>before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after</w:t>
      </w:r>
      <w:r>
        <w:rPr>
          <w:spacing w:val="-2"/>
        </w:rPr>
        <w:t> </w:t>
      </w:r>
      <w:r>
        <w:rPr/>
        <w:t>carrying</w:t>
      </w:r>
      <w:r>
        <w:rPr>
          <w:spacing w:val="-3"/>
        </w:rPr>
        <w:t> </w:t>
      </w:r>
      <w:r>
        <w:rPr/>
        <w:t>out</w:t>
      </w:r>
      <w:r>
        <w:rPr>
          <w:spacing w:val="-57"/>
        </w:rPr>
        <w:t> </w:t>
      </w:r>
      <w:r>
        <w:rPr/>
        <w:t>the Disminore</w:t>
      </w:r>
      <w:r>
        <w:rPr>
          <w:spacing w:val="1"/>
        </w:rPr>
        <w:t> </w:t>
      </w:r>
      <w:r>
        <w:rPr/>
        <w:t>Gymnastics</w:t>
      </w:r>
      <w:r>
        <w:rPr>
          <w:spacing w:val="-2"/>
        </w:rPr>
        <w:t> </w:t>
      </w:r>
      <w:r>
        <w:rPr/>
        <w:t>technique.</w:t>
      </w:r>
    </w:p>
    <w:p>
      <w:pPr>
        <w:pStyle w:val="BodyText"/>
        <w:ind w:left="588" w:right="125"/>
        <w:jc w:val="both"/>
      </w:pPr>
      <w:r>
        <w:rPr>
          <w:b/>
        </w:rPr>
        <w:t>Results: </w:t>
      </w:r>
      <w:r>
        <w:rPr/>
        <w:t>The results obtained by implementing Disminore Exercise according to</w:t>
      </w:r>
      <w:r>
        <w:rPr>
          <w:spacing w:val="1"/>
        </w:rPr>
        <w:t> </w:t>
      </w:r>
      <w:r>
        <w:rPr/>
        <w:t>Standard Operational Procedures Before and After Show that there is a difference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 Disminore subject.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proves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the pain</w:t>
      </w:r>
      <w:r>
        <w:rPr>
          <w:spacing w:val="-1"/>
        </w:rPr>
        <w:t> </w:t>
      </w:r>
      <w:r>
        <w:rPr/>
        <w:t>felt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the subject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reduced.</w:t>
      </w:r>
    </w:p>
    <w:p>
      <w:pPr>
        <w:pStyle w:val="BodyText"/>
        <w:ind w:left="588" w:right="125"/>
        <w:jc w:val="both"/>
      </w:pPr>
      <w:r>
        <w:rPr>
          <w:b/>
        </w:rPr>
        <w:t>Conclusion: </w:t>
      </w:r>
      <w:r>
        <w:rPr/>
        <w:t>Applying the Disminore Gymnastics technique can be proven to</w:t>
      </w:r>
      <w:r>
        <w:rPr>
          <w:spacing w:val="1"/>
        </w:rPr>
        <w:t> </w:t>
      </w:r>
      <w:r>
        <w:rPr/>
        <w:t>reduce the pain scale of dysmenorrhea sufferers at the Garuda Putih Jambi Stikes</w:t>
      </w:r>
      <w:r>
        <w:rPr>
          <w:spacing w:val="1"/>
        </w:rPr>
        <w:t> </w:t>
      </w:r>
      <w:r>
        <w:rPr/>
        <w:t>in 2023.</w:t>
      </w:r>
    </w:p>
    <w:p>
      <w:pPr>
        <w:pStyle w:val="BodyText"/>
        <w:spacing w:before="1"/>
        <w:ind w:left="588" w:right="127"/>
        <w:jc w:val="both"/>
      </w:pPr>
      <w:r>
        <w:rPr>
          <w:b/>
        </w:rPr>
        <w:t>Suggestion:</w:t>
      </w:r>
      <w:r>
        <w:rPr>
          <w:b/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 expected 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reference in</w:t>
      </w:r>
      <w:r>
        <w:rPr>
          <w:spacing w:val="1"/>
        </w:rPr>
        <w:t> </w:t>
      </w:r>
      <w:r>
        <w:rPr/>
        <w:t>reducing</w:t>
      </w:r>
      <w:r>
        <w:rPr>
          <w:spacing w:val="1"/>
        </w:rPr>
        <w:t> </w:t>
      </w:r>
      <w:r>
        <w:rPr/>
        <w:t>dysmenorrhea pain.</w:t>
      </w:r>
    </w:p>
    <w:p>
      <w:pPr>
        <w:pStyle w:val="BodyText"/>
        <w:ind w:left="588"/>
        <w:jc w:val="both"/>
      </w:pPr>
      <w:r>
        <w:rPr>
          <w:b/>
        </w:rPr>
        <w:t>Keywords:</w:t>
      </w:r>
      <w:r>
        <w:rPr>
          <w:b/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Disminore</w:t>
      </w:r>
      <w:r>
        <w:rPr>
          <w:spacing w:val="-6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Reduce</w:t>
      </w:r>
      <w:r>
        <w:rPr>
          <w:spacing w:val="-1"/>
        </w:rPr>
        <w:t> </w:t>
      </w:r>
      <w:r>
        <w:rPr/>
        <w:t>Menstrual</w:t>
      </w:r>
      <w:r>
        <w:rPr>
          <w:spacing w:val="-3"/>
        </w:rPr>
        <w:t> </w:t>
      </w:r>
      <w:r>
        <w:rPr/>
        <w:t>Pain</w:t>
      </w:r>
      <w:r>
        <w:rPr>
          <w:spacing w:val="-2"/>
        </w:rPr>
        <w:t> </w:t>
      </w:r>
      <w:r>
        <w:rPr/>
        <w:t>Scale.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b/>
          <w:sz w:val="24"/>
        </w:rPr>
        <w:t>References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sz w:val="24"/>
        </w:rPr>
        <w:t>Book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(2017-2023),</w:t>
      </w:r>
      <w:r>
        <w:rPr>
          <w:spacing w:val="-1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(2018-20223)</w:t>
      </w:r>
    </w:p>
    <w:sectPr>
      <w:type w:val="continuous"/>
      <w:pgSz w:w="11910" w:h="16840"/>
      <w:pgMar w:top="16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1" w:right="57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taciciseptia23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RODEON</dc:creator>
  <dcterms:created xsi:type="dcterms:W3CDTF">2023-06-14T01:06:49Z</dcterms:created>
  <dcterms:modified xsi:type="dcterms:W3CDTF">2023-06-14T01:06:49Z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2023-06-14T00:00:00Z</vt:filetime>
  </property>
</Properties>
</file>